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宿迁市高性能复合材料产业集聚区</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制定集聚区发展规划，并组织实施；负责集聚区工业经济及功能材料产业的政策研究、信息收集、宣传推介、招商引资、建设等帮办服务工作；负责集聚区土地管理、环境保护、安全生产、财务管理等工作；负责集聚区内社会事业、事务、社会稳定等工作；负责党工委、管委会交办的其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综合科、党建科、招商科、投资服务科、建设管理科5个科室，下挂宿迁市高性能复合材料产业招商局，核定人员16人。</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宿迁市高性能复合材料产业集聚区本级。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2024年计划引进工业项目4个，其中1-10亿元项目3个，10亿元以上项目1个，计划利用外资300万元，举办招商推介会3场次，推荐区主要领导外出拜访企业5家。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宿迁市高性能复合材料产业集聚区</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宿迁市高性能复合材料产业集聚区</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512.70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331.12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53.52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17.93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95.13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512.70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512.70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512.70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512.70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512.70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512.70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512.70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宿迁市高性能复合材料产业集聚区</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512.70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512.70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512.70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宿迁市高性能复合材料产业集聚区本级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512.70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512.70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512.70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512.70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441.67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71.03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招商引资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宿迁市高性能复合材料产业集聚区</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512.70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512.70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512.70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331.12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53.52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95.13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512.70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512.70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512.70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441.67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404.73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招商引资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宿迁市高性能复合材料产业集聚区</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441.67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404.73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512.70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441.67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404.73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招商引资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441.67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404.73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信息网络及软件购置更新</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咨询费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宿迁市高性能复合材料产业集聚区</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宿迁市高性能复合材料产业集聚区本级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宿迁市高性能复合材料产业集聚区2024年度收入、支出预算总计512.7万元，与上年相比收、支预算总计各减少70.82万元，减少12.14%。其中：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（一）收入预算总计512.7万元。包括：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1．本年收入合计512.7万元。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（1）一般公共预算拨款收入512.7万元，与上年相比减少70.82万元，减少12.14%。主要原因是人员经费减少98.05万元，公用经费减少3.8万元，项目经费增加31.03万元。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（二）支出预算总计512.7万元。包括：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1．本年支出合计512.7万元。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331.12万元，主要用于人员经费238.15万元，公用经费36.94万元，专项业务费16.03万元，招商引资专项经费40万元。与上年相比减少101.33万元，减少23.43%。主要原因是人员减少，导致人员经费减少113.56万元，公用经费减少3.8万元；项目经费增加16.03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53.52万元，主要用于机关事业单位基本养老保险缴费支出35.68万元，机关事业单位职业年金缴费支出17.84万元。与上年相比增加17.73万元，增长49.54%。主要原因是保险基数调增，增加基本养老保险缴费支出11.82万元和职业年金缴费支出5.91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（3）卫生健康支出（类）支出17.93万元，主要用于行政事业单位医疗保险缴费支出。与上年相比增加5.9万元，增长49.04%。主要原因是保险基数调增，增加行政事业单位医疗保险缴费支出5.9万元。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95.13万元，主要用于住房改革支出，其中住房公积金支出47.52万元，提租补贴支出28.10万元，购房补贴支出19.51万元。与上年相比减少8.12万元，减少7.86%。主要原因是人员减少，导致住房改革支出减少8.12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（5）灾害防治及应急管理支出（类）支出15万元，主要用于安全生产监管工作。与上年相比增加15万元（去年预算数为0万元，无法计算增减比率）。主要原因是去年没列支该项经费。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宿迁市高性能复合材料产业集聚区2024年收入预算合计512.7万元，包括本年收入512.7万元，上年结转结余0万元。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本年一般公共预算收入512.7万元，占100%；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宿迁市高性能复合材料产业集聚区2024年支出预算合计512.7万元，其中：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基本支出441.67万元，占86.15%；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项目支出71.03万元，占13.85%；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财政拨款收、支总预算512.7万元。与上年相比，财政拨款收、支总计各减少70.82万元，减少12.14%。主要原因是人员经费减少98.05万元，公用经费减少3.8万元，项目经费增加31.03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财政拨款预算支出512.7万元，占本年支出合计的100%。与上年相比，财政拨款支出减少70.82万元，减少12.14%。主要原因是人员经费减少98.05万元，公用经费减少3.8万元，项目经费增加31.03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291.12万元，与上年相比减少101.33万元，减少25.82%。主要原因是人员减少，导致人员经费减少113.56万元，公用经费减少3.8万元；项目经费增加16.03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2.商贸事务（款）招商引资（项）支出40万元，与上年预算数相同。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1.行政事业单位养老支出（款）机关事业单位基本养老保险缴费支出（项）支出35.68万元，与上年相比增加11.82万元，增长49.54%。主要原因是保险基数调增，增加基本养老保险缴费支出11.82万元。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2.行政事业单位养老支出（款）机关事业单位职业年金缴费支出（项）支出17.84万元，与上年相比增加5.91万元，增长49.54%。主要原因是保险基数调增，增加职业年金缴费支出5.91万元。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行政事业单位医疗（款）行政单位医疗（项）支出17.93万元，与上年相比增加5.9万元，增长49.04%。主要原因是保险基数调增，增加行政事业单位医疗保险缴费支出5.9万元。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1.住房改革支出（款）住房公积金（项）支出47.52万元，与上年相比增加3.79万元，增长8.67%。主要原因是公积金基数调增，增加住房公积金支出3.79万元。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2.住房改革支出（款）提租补贴（项）支出28.1万元，与上年相比减少6.08万元，减少17.79%。主要原因是人员减少，减少提租补贴支出6.08万元。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3.住房改革支出（款）购房补贴（项）支出19.51万元，与上年相比减少5.83万元，减少23.01%。主要原因是人员减少，减少购房补贴支出5.83万元。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应急管理事务（款）其他应急管理支出（项）支出15万元，与上年相比增加15万元（去年预算数为0万元，无法计算增减比率）。主要原因是去年没列支该项经费。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宿迁市高性能复合材料产业集聚区2024年度财政拨款基本支出预算441.67万元，其中：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（一）人员经费404.73万元。主要包括：基本工资、津贴补贴、奖金、绩效工资、机关事业单位基本养老保险缴费、职业年金缴费、职工基本医疗保险缴费、其他社会保障缴费、住房公积金、其他工资福利支出。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（二）公用经费36.94万元。主要包括：办公费、印刷费、咨询费、水费、物业管理费、培训费、劳务费、工会经费、福利费、其他交通费用、办公设备购置、信息网络及软件购置更新。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宿迁市高性能复合材料产业集聚区2024年一般公共预算财政拨款支出预算512.7万元，与上年相比减少70.82万元，减少12.14%。主要原因是人员经费减少98.05万元，公用经费减少3.8万元，项目经费增加31.03万元。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宿迁市高性能复合材料产业集聚区2024年度一般公共预算财政拨款基本支出预算441.67万元，其中：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（一）人员经费404.73万元。主要包括：基本工资、津贴补贴、奖金、绩效工资、机关事业单位基本养老保险缴费、职业年金缴费、职工基本医疗保险缴费、其他社会保障缴费、住房公积金、其他工资福利支出。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（二）公用经费36.94万元。主要包括：办公费、印刷费、咨询费、水费、物业管理费、培训费、劳务费、工会经费、福利费、其他交通费用、办公设备购置、信息网络及软件购置更新。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一般公共预算拨款安排的“三公”经费支出预算10万元，比上年预算减少2.78万元，变动原因是今年公务接待费以项目形式列入预算，商品服务支出中不再单独安排计提。其中，因公出国（境）费支出0万元，占“三公”经费的0%；公务用车购置及运行维护费支出0万元，占“三公”经费的0%；公务接待费支出10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3．公务接待费预算支出10万元，比上年预算减少2.78万元，主要原因是今年公务接待费以项目形式列入预算，商品服务支出中不再单独安排计提。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宿迁市高性能复合材料产业集聚区2024年度一般公共预算拨款安排的会议费预算支出6万元，比上年预算增加6万元，主要原因是今年单独在项目经费中列支会议费。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宿迁市高性能复合材料产业集聚区2024年度一般公共预算拨款安排的培训费预算支出3.35万元，比上年预算增加1.47万元，主要原因是社会保险基数调增，导致培训费支出调增1.47万元。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宿迁市高性能复合材料产业集聚区2024年国有资本经营预算支出0万元。与上年预算数相同。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2024年本部门一般公共预算机关运行经费预算支出32.94万元，与上年相比减少7.8万元，减少19.15%。主要原因是人员减少，导致机关运行经费支出减少7.8万元。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2024年度政府采购支出预算总额4万元，其中：拟采购货物支出4万元、拟采购工程支出0万元、拟采购服务支出0万元。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512.7万元；本部门共3个项目纳入绩效目标管理，涉及财政性资金合计71.03万元，占财政性资金(人员类和运转类中的公用经费项目支出除外)总额的比例为13.85%。</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九、一般公共服务支出(类)商贸事务(款)招商引资(项)</w:t>
      </w:r>
      <w:r>
        <w:rPr>
          <w:rFonts w:ascii="仿宋" w:hAnsi="仿宋" w:cs="仿宋" w:eastAsia="仿宋"/>
          <w:b w:val="true"/>
        </w:rPr>
        <w:t>：</w:t>
      </w:r>
      <w:r>
        <w:rPr>
          <w:rFonts w:hint="eastAsia" w:ascii="仿宋" w:hAnsi="仿宋" w:eastAsia="仿宋" w:cs="仿宋"/>
        </w:rPr>
        <w:t>反映用于招商引资、优化经济环境等方面的支出。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十六、灾害防治及应急管理支出(类)应急管理事务(款)其他应急管理支出(项)</w:t>
      </w:r>
      <w:r>
        <w:rPr>
          <w:rFonts w:ascii="仿宋" w:hAnsi="仿宋" w:cs="仿宋" w:eastAsia="仿宋"/>
          <w:b w:val="true"/>
        </w:rPr>
        <w:t>：</w:t>
      </w:r>
      <w:r>
        <w:rPr>
          <w:rFonts w:hint="eastAsia" w:ascii="仿宋" w:hAnsi="仿宋" w:eastAsia="仿宋" w:cs="仿宋"/>
        </w:rPr>
        <w:t>反映除上述项目外的其他应急管理方面的支出。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宿迁市高性能复合材料产业集聚区</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